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809D7" w14:textId="77777777" w:rsidR="000808CE" w:rsidRPr="00A32B58"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A32B58">
        <w:rPr>
          <w:rFonts w:asciiTheme="minorHAnsi" w:hAnsiTheme="minorHAnsi"/>
          <w:b w:val="0"/>
          <w:sz w:val="48"/>
          <w:szCs w:val="48"/>
        </w:rPr>
        <w:t>SMLOUV</w:t>
      </w:r>
      <w:r w:rsidRPr="00A32B58">
        <w:rPr>
          <w:rFonts w:asciiTheme="minorHAnsi" w:hAnsiTheme="minorHAnsi"/>
          <w:b w:val="0"/>
          <w:sz w:val="48"/>
          <w:szCs w:val="48"/>
        </w:rPr>
        <w:t>Y</w:t>
      </w:r>
      <w:r w:rsidR="000808CE" w:rsidRPr="00A32B58">
        <w:rPr>
          <w:rFonts w:asciiTheme="minorHAnsi" w:hAnsiTheme="minorHAnsi"/>
          <w:b w:val="0"/>
          <w:sz w:val="48"/>
          <w:szCs w:val="48"/>
        </w:rPr>
        <w:t xml:space="preserve"> O DÍLO</w:t>
      </w:r>
    </w:p>
    <w:p w14:paraId="4B7E3108" w14:textId="7BA41C32" w:rsidR="00882E39" w:rsidRPr="00A32B58" w:rsidRDefault="00C1048B" w:rsidP="00F56CA0">
      <w:pPr>
        <w:widowControl w:val="0"/>
        <w:autoSpaceDE w:val="0"/>
        <w:autoSpaceDN w:val="0"/>
        <w:adjustRightInd w:val="0"/>
        <w:spacing w:after="160"/>
        <w:jc w:val="center"/>
        <w:rPr>
          <w:rFonts w:asciiTheme="minorHAnsi" w:hAnsiTheme="minorHAnsi"/>
          <w:bCs/>
          <w:sz w:val="36"/>
          <w:szCs w:val="36"/>
        </w:rPr>
      </w:pPr>
      <w:r w:rsidRPr="00A32B58">
        <w:rPr>
          <w:rFonts w:asciiTheme="minorHAnsi" w:hAnsiTheme="minorHAnsi"/>
          <w:bCs/>
          <w:sz w:val="36"/>
          <w:szCs w:val="36"/>
        </w:rPr>
        <w:t>č.</w:t>
      </w:r>
      <w:r w:rsidR="00882E39" w:rsidRPr="00A32B58">
        <w:rPr>
          <w:rFonts w:asciiTheme="minorHAnsi" w:hAnsiTheme="minorHAnsi"/>
          <w:bCs/>
          <w:sz w:val="36"/>
          <w:szCs w:val="36"/>
        </w:rPr>
        <w:t xml:space="preserve"> </w:t>
      </w:r>
      <w:r w:rsidR="00E95CD6" w:rsidRPr="00A32B58">
        <w:rPr>
          <w:rFonts w:asciiTheme="minorHAnsi" w:hAnsiTheme="minorHAnsi"/>
          <w:bCs/>
          <w:sz w:val="36"/>
          <w:szCs w:val="36"/>
        </w:rPr>
        <w:t>ORM</w:t>
      </w:r>
      <w:r w:rsidR="00882E39" w:rsidRPr="00A32B58">
        <w:rPr>
          <w:rFonts w:asciiTheme="minorHAnsi" w:hAnsiTheme="minorHAnsi"/>
          <w:bCs/>
          <w:sz w:val="36"/>
          <w:szCs w:val="36"/>
        </w:rPr>
        <w:t>/</w:t>
      </w:r>
      <w:r w:rsidR="00A32B58" w:rsidRPr="00A32B58">
        <w:rPr>
          <w:rFonts w:asciiTheme="minorHAnsi" w:hAnsiTheme="minorHAnsi"/>
          <w:bCs/>
          <w:sz w:val="36"/>
          <w:szCs w:val="36"/>
        </w:rPr>
        <w:t>1930</w:t>
      </w:r>
      <w:r w:rsidR="00882E39" w:rsidRPr="00A32B58">
        <w:rPr>
          <w:rFonts w:asciiTheme="minorHAnsi" w:hAnsiTheme="minorHAnsi"/>
          <w:bCs/>
          <w:sz w:val="36"/>
          <w:szCs w:val="36"/>
        </w:rPr>
        <w:t>/</w:t>
      </w:r>
      <w:r w:rsidR="00A32B58" w:rsidRPr="00A32B58">
        <w:rPr>
          <w:rFonts w:asciiTheme="minorHAnsi" w:hAnsiTheme="minorHAnsi"/>
          <w:bCs/>
          <w:sz w:val="36"/>
          <w:szCs w:val="36"/>
        </w:rPr>
        <w:t>7</w:t>
      </w:r>
      <w:r w:rsidR="004005FA" w:rsidRPr="00A32B58">
        <w:rPr>
          <w:rFonts w:asciiTheme="minorHAnsi" w:hAnsiTheme="minorHAnsi"/>
          <w:bCs/>
          <w:sz w:val="36"/>
          <w:szCs w:val="36"/>
        </w:rPr>
        <w:t>/</w:t>
      </w:r>
      <w:r w:rsidR="00882E39" w:rsidRPr="00A32B58">
        <w:rPr>
          <w:rFonts w:asciiTheme="minorHAnsi" w:hAnsiTheme="minorHAnsi"/>
          <w:bCs/>
          <w:sz w:val="36"/>
          <w:szCs w:val="36"/>
        </w:rPr>
        <w:t>20</w:t>
      </w:r>
      <w:r w:rsidR="007E3E44" w:rsidRPr="00A32B58">
        <w:rPr>
          <w:rFonts w:asciiTheme="minorHAnsi" w:hAnsiTheme="minorHAnsi"/>
          <w:bCs/>
          <w:sz w:val="36"/>
          <w:szCs w:val="36"/>
        </w:rPr>
        <w:t>2</w:t>
      </w:r>
      <w:r w:rsidR="00A300CE" w:rsidRPr="00A32B58">
        <w:rPr>
          <w:rFonts w:asciiTheme="minorHAnsi" w:hAnsiTheme="minorHAnsi"/>
          <w:bCs/>
          <w:sz w:val="36"/>
          <w:szCs w:val="36"/>
        </w:rPr>
        <w:t>1</w:t>
      </w:r>
    </w:p>
    <w:p w14:paraId="432BD506" w14:textId="77777777"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103E6480"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A32B58" w:rsidRPr="00CC5BFE">
        <w:rPr>
          <w:rFonts w:ascii="Calibri" w:hAnsi="Calibri" w:cs="Arial"/>
        </w:rPr>
        <w:t>Veřejná prostranství Perla 01</w:t>
      </w:r>
      <w:r w:rsidR="00A32B58">
        <w:rPr>
          <w:rFonts w:ascii="Calibri" w:hAnsi="Calibri" w:cs="Arial"/>
        </w:rPr>
        <w:t xml:space="preserve"> v Ústí nad Orlicí</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465AA5" w:rsidRDefault="00376854" w:rsidP="00673C1D">
      <w:pPr>
        <w:widowControl w:val="0"/>
        <w:jc w:val="both"/>
        <w:rPr>
          <w:iCs/>
          <w:sz w:val="6"/>
          <w:szCs w:val="6"/>
        </w:rPr>
      </w:pPr>
    </w:p>
    <w:p w14:paraId="7013FDAE" w14:textId="5DBC6CF7" w:rsidR="00882E39" w:rsidRPr="00A32B58" w:rsidRDefault="00996801" w:rsidP="00E52341">
      <w:pPr>
        <w:pStyle w:val="Bod2"/>
        <w:ind w:left="1560" w:hanging="993"/>
        <w:rPr>
          <w:color w:val="auto"/>
        </w:rPr>
      </w:pPr>
      <w:r w:rsidRPr="0095431C">
        <w:t>Název</w:t>
      </w:r>
      <w:r w:rsidR="00882E39" w:rsidRPr="0095431C">
        <w:t>:</w:t>
      </w:r>
      <w:r w:rsidR="0095431C" w:rsidRPr="0095431C">
        <w:tab/>
      </w:r>
      <w:r w:rsidR="00A32B58" w:rsidRPr="00A32B58">
        <w:rPr>
          <w:rFonts w:ascii="Calibri" w:hAnsi="Calibri" w:cs="Arial"/>
          <w:color w:val="auto"/>
        </w:rPr>
        <w:t>Veřejná prostranství Perla 01 v Ústí nad Orlicí</w:t>
      </w:r>
    </w:p>
    <w:p w14:paraId="49F7EEDA" w14:textId="77777777" w:rsidR="005F6119" w:rsidRPr="00A32B58" w:rsidRDefault="00996801" w:rsidP="00E52341">
      <w:pPr>
        <w:pStyle w:val="Bod2"/>
        <w:ind w:left="1560" w:hanging="993"/>
        <w:rPr>
          <w:color w:val="auto"/>
        </w:rPr>
      </w:pPr>
      <w:r w:rsidRPr="00A32B58">
        <w:rPr>
          <w:color w:val="auto"/>
        </w:rPr>
        <w:t>Místo</w:t>
      </w:r>
      <w:r w:rsidR="00882E39" w:rsidRPr="00A32B58">
        <w:rPr>
          <w:color w:val="auto"/>
        </w:rPr>
        <w:t>:</w:t>
      </w:r>
      <w:r w:rsidR="0095431C" w:rsidRPr="00A32B58">
        <w:rPr>
          <w:color w:val="auto"/>
        </w:rPr>
        <w:tab/>
      </w:r>
      <w:r w:rsidR="00056170" w:rsidRPr="00A32B58">
        <w:rPr>
          <w:color w:val="auto"/>
        </w:rPr>
        <w:t>Ústí nad Orlicí</w:t>
      </w:r>
    </w:p>
    <w:p w14:paraId="4792F7BD" w14:textId="77777777"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7699E257" w14:textId="7D2C5006" w:rsidR="00882E39" w:rsidRDefault="00882E39" w:rsidP="000742BE">
      <w:pPr>
        <w:pStyle w:val="Bod1"/>
      </w:pPr>
      <w:r w:rsidRPr="00C1048B">
        <w:t>3.1</w:t>
      </w:r>
      <w:r w:rsidRPr="0095431C">
        <w:tab/>
      </w:r>
      <w:r w:rsidR="00B34247">
        <w:t xml:space="preserve">Předmětem této smlouvy </w:t>
      </w:r>
      <w:r w:rsidR="00B34247" w:rsidRPr="00A32B58">
        <w:rPr>
          <w:color w:val="auto"/>
        </w:rPr>
        <w:t>je provedení akce „</w:t>
      </w:r>
      <w:r w:rsidR="00A32B58" w:rsidRPr="00A32B58">
        <w:rPr>
          <w:rFonts w:ascii="Calibri" w:hAnsi="Calibri" w:cs="Arial"/>
          <w:color w:val="auto"/>
        </w:rPr>
        <w:t>Veřejná prostranství Perla 01 v Ústí nad Orlicí</w:t>
      </w:r>
      <w:r w:rsidR="00B34247" w:rsidRPr="00A32B58">
        <w:rPr>
          <w:color w:val="auto"/>
        </w:rPr>
        <w:t xml:space="preserve">“. Jedná se o </w:t>
      </w:r>
      <w:r w:rsidR="00A32B58" w:rsidRPr="00A32B58">
        <w:rPr>
          <w:color w:val="auto"/>
        </w:rPr>
        <w:t>výstavbu veřejných prostranství v prostoru bývalé továrny Perla 01.</w:t>
      </w:r>
      <w:r w:rsidR="00993011" w:rsidRPr="00A32B58">
        <w:rPr>
          <w:color w:val="auto"/>
        </w:rPr>
        <w:t xml:space="preserve"> Rozsah prací je specifikován projektovou dokumentací a výkazem výměr vypracovaných </w:t>
      </w:r>
      <w:r w:rsidR="00A32B58" w:rsidRPr="00A32B58">
        <w:rPr>
          <w:color w:val="auto"/>
        </w:rPr>
        <w:t>společností MS Plan s.r.o., U Nikolajky 1085/15, 150 03 Praha 5.</w:t>
      </w: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4D62CDA9" w14:textId="77777777" w:rsidR="00C1048B" w:rsidRDefault="00C1048B" w:rsidP="00C1048B">
      <w:pPr>
        <w:pStyle w:val="lnek"/>
        <w:spacing w:after="0"/>
      </w:pPr>
      <w:r>
        <w:lastRenderedPageBreak/>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26C0FA06" w:rsidR="00DF79AD" w:rsidRPr="00A32B58"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1C3AB8">
        <w:rPr>
          <w:rFonts w:asciiTheme="minorHAnsi" w:hAnsiTheme="minorHAnsi"/>
          <w:iCs/>
          <w:sz w:val="22"/>
          <w:szCs w:val="22"/>
        </w:rPr>
        <w:t>20</w:t>
      </w:r>
      <w:r w:rsidR="00A32B58" w:rsidRPr="00A32B58">
        <w:rPr>
          <w:rFonts w:asciiTheme="minorHAnsi" w:hAnsiTheme="minorHAnsi"/>
          <w:iCs/>
          <w:sz w:val="22"/>
          <w:szCs w:val="22"/>
        </w:rPr>
        <w:t>.5.</w:t>
      </w:r>
      <w:r w:rsidR="00993011" w:rsidRPr="00A32B58">
        <w:rPr>
          <w:rFonts w:asciiTheme="minorHAnsi" w:hAnsiTheme="minorHAnsi"/>
          <w:iCs/>
          <w:sz w:val="22"/>
          <w:szCs w:val="22"/>
        </w:rPr>
        <w:t>20</w:t>
      </w:r>
      <w:r w:rsidR="007E3E44" w:rsidRPr="00A32B58">
        <w:rPr>
          <w:rFonts w:asciiTheme="minorHAnsi" w:hAnsiTheme="minorHAnsi"/>
          <w:iCs/>
          <w:sz w:val="22"/>
          <w:szCs w:val="22"/>
        </w:rPr>
        <w:t>2</w:t>
      </w:r>
      <w:r w:rsidR="00A300CE" w:rsidRPr="00A32B58">
        <w:rPr>
          <w:rFonts w:asciiTheme="minorHAnsi" w:hAnsiTheme="minorHAnsi"/>
          <w:iCs/>
          <w:sz w:val="22"/>
          <w:szCs w:val="22"/>
        </w:rPr>
        <w:t>1</w:t>
      </w:r>
    </w:p>
    <w:p w14:paraId="5650262F" w14:textId="6A25AB6A" w:rsidR="00996801" w:rsidRPr="00A32B58" w:rsidRDefault="00DF79AD" w:rsidP="00E52341">
      <w:pPr>
        <w:widowControl w:val="0"/>
        <w:tabs>
          <w:tab w:val="left" w:pos="3969"/>
          <w:tab w:val="left" w:pos="7797"/>
        </w:tabs>
        <w:ind w:left="2552" w:hanging="1985"/>
        <w:jc w:val="both"/>
        <w:rPr>
          <w:rFonts w:asciiTheme="minorHAnsi" w:hAnsiTheme="minorHAnsi"/>
          <w:iCs/>
          <w:sz w:val="22"/>
          <w:szCs w:val="22"/>
        </w:rPr>
      </w:pPr>
      <w:r w:rsidRPr="00A32B58">
        <w:rPr>
          <w:rFonts w:asciiTheme="minorHAnsi" w:hAnsiTheme="minorHAnsi"/>
          <w:iCs/>
          <w:sz w:val="22"/>
          <w:szCs w:val="22"/>
        </w:rPr>
        <w:t>Ukončení prací</w:t>
      </w:r>
      <w:r w:rsidR="002C75E8" w:rsidRPr="00A32B58">
        <w:rPr>
          <w:rFonts w:asciiTheme="minorHAnsi" w:hAnsiTheme="minorHAnsi"/>
          <w:iCs/>
          <w:sz w:val="22"/>
          <w:szCs w:val="22"/>
        </w:rPr>
        <w:t xml:space="preserve"> do:</w:t>
      </w:r>
      <w:r w:rsidR="00E52341" w:rsidRPr="00A32B58">
        <w:rPr>
          <w:rFonts w:asciiTheme="minorHAnsi" w:hAnsiTheme="minorHAnsi"/>
          <w:iCs/>
          <w:sz w:val="22"/>
          <w:szCs w:val="22"/>
        </w:rPr>
        <w:tab/>
      </w:r>
      <w:r w:rsidR="007F2768">
        <w:rPr>
          <w:rFonts w:asciiTheme="minorHAnsi" w:hAnsiTheme="minorHAnsi"/>
          <w:iCs/>
          <w:sz w:val="22"/>
          <w:szCs w:val="22"/>
        </w:rPr>
        <w:t>31.8.</w:t>
      </w:r>
      <w:r w:rsidR="00993011" w:rsidRPr="00A32B58">
        <w:rPr>
          <w:rFonts w:asciiTheme="minorHAnsi" w:hAnsiTheme="minorHAnsi"/>
          <w:iCs/>
          <w:sz w:val="22"/>
          <w:szCs w:val="22"/>
        </w:rPr>
        <w:t>20</w:t>
      </w:r>
      <w:r w:rsidR="007E3E44" w:rsidRPr="00A32B58">
        <w:rPr>
          <w:rFonts w:asciiTheme="minorHAnsi" w:hAnsiTheme="minorHAnsi"/>
          <w:iCs/>
          <w:sz w:val="22"/>
          <w:szCs w:val="22"/>
        </w:rPr>
        <w:t>2</w:t>
      </w:r>
      <w:r w:rsidR="00A300CE" w:rsidRPr="00A32B58">
        <w:rPr>
          <w:rFonts w:asciiTheme="minorHAnsi" w:hAnsiTheme="minorHAnsi"/>
          <w:iCs/>
          <w:sz w:val="22"/>
          <w:szCs w:val="22"/>
        </w:rPr>
        <w:t>1</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7F25880F" w14:textId="5FBD9B94" w:rsidR="00993011" w:rsidRPr="00A32B58" w:rsidRDefault="00A32B58" w:rsidP="00993011">
      <w:pPr>
        <w:widowControl w:val="0"/>
        <w:tabs>
          <w:tab w:val="right" w:pos="8080"/>
        </w:tabs>
        <w:autoSpaceDE w:val="0"/>
        <w:autoSpaceDN w:val="0"/>
        <w:adjustRightInd w:val="0"/>
        <w:ind w:left="567"/>
        <w:jc w:val="both"/>
        <w:rPr>
          <w:rFonts w:asciiTheme="minorHAnsi" w:hAnsiTheme="minorHAnsi"/>
          <w:iCs/>
          <w:sz w:val="22"/>
          <w:szCs w:val="22"/>
        </w:rPr>
      </w:pPr>
      <w:r w:rsidRPr="00A32B58">
        <w:rPr>
          <w:rFonts w:asciiTheme="minorHAnsi" w:hAnsiTheme="minorHAnsi"/>
          <w:iCs/>
          <w:sz w:val="22"/>
          <w:szCs w:val="22"/>
        </w:rPr>
        <w:t>Vodovod a kanalizace</w:t>
      </w:r>
      <w:r w:rsidR="00993011" w:rsidRPr="00A32B58">
        <w:rPr>
          <w:rFonts w:asciiTheme="minorHAnsi" w:hAnsiTheme="minorHAnsi"/>
          <w:iCs/>
          <w:sz w:val="22"/>
          <w:szCs w:val="22"/>
        </w:rPr>
        <w:tab/>
        <w:t>………………………,- Kč</w:t>
      </w:r>
    </w:p>
    <w:p w14:paraId="5DE1A6D3" w14:textId="2F400002" w:rsidR="00993011" w:rsidRPr="00A32B58" w:rsidRDefault="00A32B58" w:rsidP="00993011">
      <w:pPr>
        <w:widowControl w:val="0"/>
        <w:tabs>
          <w:tab w:val="right" w:pos="8080"/>
        </w:tabs>
        <w:autoSpaceDE w:val="0"/>
        <w:autoSpaceDN w:val="0"/>
        <w:adjustRightInd w:val="0"/>
        <w:ind w:left="567"/>
        <w:jc w:val="both"/>
        <w:rPr>
          <w:rFonts w:asciiTheme="minorHAnsi" w:hAnsiTheme="minorHAnsi"/>
          <w:iCs/>
          <w:sz w:val="22"/>
          <w:szCs w:val="22"/>
        </w:rPr>
      </w:pPr>
      <w:r w:rsidRPr="00A32B58">
        <w:rPr>
          <w:rFonts w:asciiTheme="minorHAnsi" w:hAnsiTheme="minorHAnsi"/>
          <w:iCs/>
          <w:sz w:val="22"/>
          <w:szCs w:val="22"/>
        </w:rPr>
        <w:t>Zpevněné plochy - veřejné prostranství 1</w:t>
      </w:r>
      <w:r w:rsidR="00993011" w:rsidRPr="00A32B58">
        <w:rPr>
          <w:rFonts w:asciiTheme="minorHAnsi" w:hAnsiTheme="minorHAnsi"/>
          <w:iCs/>
          <w:sz w:val="22"/>
          <w:szCs w:val="22"/>
        </w:rPr>
        <w:tab/>
        <w:t>………………………,- Kč</w:t>
      </w:r>
    </w:p>
    <w:p w14:paraId="34C9E4C3" w14:textId="57B979DA" w:rsidR="00993011" w:rsidRPr="00A32B58" w:rsidRDefault="00A32B58" w:rsidP="00993011">
      <w:pPr>
        <w:widowControl w:val="0"/>
        <w:tabs>
          <w:tab w:val="right" w:pos="8080"/>
        </w:tabs>
        <w:autoSpaceDE w:val="0"/>
        <w:autoSpaceDN w:val="0"/>
        <w:adjustRightInd w:val="0"/>
        <w:ind w:left="567"/>
        <w:jc w:val="both"/>
        <w:rPr>
          <w:rFonts w:asciiTheme="minorHAnsi" w:hAnsiTheme="minorHAnsi"/>
          <w:iCs/>
          <w:sz w:val="22"/>
          <w:szCs w:val="22"/>
        </w:rPr>
      </w:pPr>
      <w:r w:rsidRPr="00A32B58">
        <w:rPr>
          <w:rFonts w:asciiTheme="minorHAnsi" w:hAnsiTheme="minorHAnsi"/>
          <w:iCs/>
          <w:sz w:val="22"/>
          <w:szCs w:val="22"/>
        </w:rPr>
        <w:t>Zpevněné plochy - veřejné prostranství 2</w:t>
      </w:r>
      <w:r w:rsidR="00993011" w:rsidRPr="00A32B58">
        <w:rPr>
          <w:rFonts w:asciiTheme="minorHAnsi" w:hAnsiTheme="minorHAnsi"/>
          <w:iCs/>
          <w:sz w:val="22"/>
          <w:szCs w:val="22"/>
        </w:rPr>
        <w:tab/>
        <w:t>………………………,- Kč</w:t>
      </w:r>
    </w:p>
    <w:p w14:paraId="4059ED33" w14:textId="46CF47EA" w:rsidR="00993011" w:rsidRPr="00C1048B" w:rsidRDefault="00A32B58"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A32B58">
        <w:rPr>
          <w:rFonts w:asciiTheme="minorHAnsi" w:hAnsiTheme="minorHAnsi"/>
          <w:iCs/>
          <w:sz w:val="22"/>
          <w:szCs w:val="22"/>
        </w:rPr>
        <w:t>Vedlejší a ostatní rozpočtové náklady</w:t>
      </w:r>
      <w:r w:rsidR="00993011" w:rsidRPr="00C1048B">
        <w:rPr>
          <w:rFonts w:asciiTheme="minorHAnsi" w:hAnsiTheme="minorHAnsi"/>
          <w:iCs/>
          <w:sz w:val="22"/>
          <w:szCs w:val="22"/>
        </w:rPr>
        <w:tab/>
      </w:r>
      <w:r w:rsidR="00993011">
        <w:rPr>
          <w:rFonts w:asciiTheme="minorHAnsi" w:hAnsiTheme="minorHAnsi"/>
          <w:iCs/>
          <w:sz w:val="22"/>
          <w:szCs w:val="22"/>
        </w:rPr>
        <w:t>………………………,-</w:t>
      </w:r>
      <w:r w:rsidR="00993011" w:rsidRPr="00C1048B">
        <w:rPr>
          <w:rFonts w:asciiTheme="minorHAnsi" w:hAnsiTheme="minorHAnsi"/>
          <w:iCs/>
          <w:sz w:val="22"/>
          <w:szCs w:val="22"/>
        </w:rPr>
        <w:t xml:space="preserve"> Kč</w:t>
      </w: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C1048B" w:rsidRDefault="00512B2D" w:rsidP="00567849">
      <w:pPr>
        <w:pStyle w:val="Bod1"/>
      </w:pPr>
      <w:r w:rsidRPr="00C1048B">
        <w:t>5.3</w:t>
      </w:r>
      <w:r w:rsidRPr="00C1048B">
        <w:tab/>
      </w:r>
      <w:r w:rsidR="00875826" w:rsidRPr="00C1048B">
        <w:t>Vzhledem k tom</w:t>
      </w:r>
      <w:r w:rsidR="00875826" w:rsidRPr="00A32B58">
        <w:rPr>
          <w:color w:val="auto"/>
        </w:rPr>
        <w:t xml:space="preserve">u, že smluvené práce nepodléhají přenesení daňové povinnosti u stavebních prací podle § 92e zákona č. 235/2004 Sb., o dani z přidané hodnoty, ve znění pozdějších předpisů, bude k uvedené </w:t>
      </w:r>
      <w:r w:rsidR="00875826" w:rsidRPr="00C1048B">
        <w:t>ceně připočítána DPH v zákonné výši.</w:t>
      </w:r>
    </w:p>
    <w:p w14:paraId="547B3CAD"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8F5690D" w14:textId="77777777" w:rsidR="00882E39" w:rsidRPr="00A32B58"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A32B58">
        <w:rPr>
          <w:rFonts w:asciiTheme="minorHAnsi" w:hAnsiTheme="minorHAnsi"/>
          <w:iCs/>
          <w:sz w:val="22"/>
          <w:szCs w:val="22"/>
        </w:rPr>
        <w:t>peněžního ústavu a číslo účtu</w:t>
      </w:r>
    </w:p>
    <w:p w14:paraId="79CC1E11" w14:textId="77777777" w:rsidR="00882E39" w:rsidRPr="00A32B58" w:rsidRDefault="00376854" w:rsidP="008B25D9">
      <w:pPr>
        <w:pStyle w:val="Zkladntext3"/>
        <w:numPr>
          <w:ilvl w:val="0"/>
          <w:numId w:val="17"/>
        </w:numPr>
        <w:tabs>
          <w:tab w:val="clear" w:pos="284"/>
        </w:tabs>
        <w:rPr>
          <w:rFonts w:asciiTheme="minorHAnsi" w:hAnsiTheme="minorHAnsi"/>
          <w:iCs/>
          <w:sz w:val="22"/>
          <w:szCs w:val="22"/>
        </w:rPr>
      </w:pPr>
      <w:r w:rsidRPr="00A32B58">
        <w:rPr>
          <w:rFonts w:asciiTheme="minorHAnsi" w:hAnsiTheme="minorHAnsi"/>
          <w:iCs/>
          <w:sz w:val="22"/>
          <w:szCs w:val="22"/>
        </w:rPr>
        <w:t>fakturovanou sumu (včetně DPH)</w:t>
      </w:r>
    </w:p>
    <w:p w14:paraId="26AA663E" w14:textId="77777777" w:rsidR="00882E39" w:rsidRPr="00A32B58" w:rsidRDefault="00882E39" w:rsidP="00673C1D">
      <w:pPr>
        <w:pStyle w:val="Zkladntext3"/>
        <w:tabs>
          <w:tab w:val="clear" w:pos="284"/>
        </w:tabs>
        <w:rPr>
          <w:rFonts w:asciiTheme="minorHAnsi" w:hAnsiTheme="minorHAnsi"/>
          <w:sz w:val="22"/>
          <w:szCs w:val="22"/>
        </w:rPr>
      </w:pPr>
    </w:p>
    <w:p w14:paraId="722119EF" w14:textId="77777777" w:rsidR="00882E39" w:rsidRPr="00A32B58" w:rsidRDefault="00397F23" w:rsidP="008B25D9">
      <w:pPr>
        <w:pStyle w:val="Bod1"/>
        <w:rPr>
          <w:color w:val="auto"/>
        </w:rPr>
      </w:pPr>
      <w:r w:rsidRPr="00A32B58">
        <w:rPr>
          <w:color w:val="auto"/>
        </w:rPr>
        <w:t>6.4</w:t>
      </w:r>
      <w:r w:rsidR="00376854" w:rsidRPr="00A32B58">
        <w:rPr>
          <w:color w:val="auto"/>
        </w:rPr>
        <w:tab/>
      </w:r>
      <w:r w:rsidR="00882E39" w:rsidRPr="00A32B58">
        <w:rPr>
          <w:color w:val="auto"/>
        </w:rPr>
        <w:t xml:space="preserve">Lhůta splatnosti faktur je </w:t>
      </w:r>
      <w:r w:rsidR="00CA17D3" w:rsidRPr="00A32B58">
        <w:rPr>
          <w:color w:val="auto"/>
        </w:rPr>
        <w:t>21</w:t>
      </w:r>
      <w:r w:rsidR="00882E39" w:rsidRPr="00A32B58">
        <w:rPr>
          <w:color w:val="auto"/>
        </w:rPr>
        <w:t xml:space="preserve"> dní ode dne doručení</w:t>
      </w:r>
      <w:r w:rsidR="00AC606A" w:rsidRPr="00A32B58">
        <w:rPr>
          <w:color w:val="auto"/>
        </w:rPr>
        <w:t xml:space="preserve"> objednateli</w:t>
      </w:r>
      <w:r w:rsidR="00882E39" w:rsidRPr="00A32B58">
        <w:rPr>
          <w:color w:val="auto"/>
        </w:rPr>
        <w:t>.</w:t>
      </w:r>
    </w:p>
    <w:p w14:paraId="7AECD59D" w14:textId="77777777" w:rsidR="00CA17D3" w:rsidRPr="00A32B58"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 prostřednictvím datové schránky, adresa datové schránky je: bxcbwmg.</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(Information System Document).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lastRenderedPageBreak/>
        <w:t>týdne od uplatnění reklamace objednatelem a vady odstranit v co nejkratším technicky možném 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1CF6522B" w:rsidR="00152305" w:rsidRDefault="00152305" w:rsidP="00C72E43">
      <w:pPr>
        <w:pStyle w:val="Bod1"/>
      </w:pPr>
    </w:p>
    <w:p w14:paraId="30BB00C8" w14:textId="77777777" w:rsidR="008F5C0C" w:rsidRPr="00C1048B" w:rsidRDefault="008F5C0C"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1119C53C" w:rsidR="00A155EB" w:rsidRDefault="00A155EB" w:rsidP="00673C1D">
      <w:pPr>
        <w:widowControl w:val="0"/>
        <w:jc w:val="both"/>
        <w:rPr>
          <w:rFonts w:asciiTheme="minorHAnsi" w:hAnsiTheme="minorHAnsi"/>
          <w:iCs/>
          <w:sz w:val="22"/>
          <w:szCs w:val="22"/>
        </w:rPr>
      </w:pPr>
    </w:p>
    <w:p w14:paraId="24B05AB4" w14:textId="77777777" w:rsidR="008F5C0C" w:rsidRDefault="008F5C0C"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0C31993F" w:rsidR="0036121F" w:rsidRPr="00A32B58" w:rsidRDefault="0036121F" w:rsidP="0036121F">
      <w:pPr>
        <w:pStyle w:val="Bod1"/>
        <w:rPr>
          <w:color w:val="auto"/>
        </w:rPr>
      </w:pPr>
      <w:r w:rsidRPr="00C1048B">
        <w:t>10.4</w:t>
      </w:r>
      <w:r w:rsidRPr="00C1048B">
        <w:tab/>
        <w:t xml:space="preserve">Tato smlouva byla schválena Radou města Ústí nad </w:t>
      </w:r>
      <w:r w:rsidRPr="00A32B58">
        <w:rPr>
          <w:color w:val="auto"/>
        </w:rPr>
        <w:t xml:space="preserve">Orlicí dne </w:t>
      </w:r>
      <w:r w:rsidR="00A32B58" w:rsidRPr="00A32B58">
        <w:rPr>
          <w:color w:val="auto"/>
        </w:rPr>
        <w:t>………………</w:t>
      </w:r>
      <w:r w:rsidRPr="00A32B58">
        <w:rPr>
          <w:color w:val="auto"/>
        </w:rPr>
        <w:t xml:space="preserve"> pod číslem usnesení ……………………………………..</w:t>
      </w:r>
    </w:p>
    <w:p w14:paraId="0336FE32" w14:textId="77777777" w:rsidR="0036121F" w:rsidRPr="00A32B58" w:rsidRDefault="0036121F" w:rsidP="0036121F">
      <w:pPr>
        <w:pStyle w:val="Bod1"/>
        <w:rPr>
          <w:color w:val="auto"/>
        </w:rPr>
      </w:pPr>
    </w:p>
    <w:p w14:paraId="6FC27790" w14:textId="77777777" w:rsidR="0036121F" w:rsidRPr="00A32B58" w:rsidRDefault="0036121F" w:rsidP="0036121F">
      <w:pPr>
        <w:pStyle w:val="Bod1"/>
        <w:rPr>
          <w:color w:val="auto"/>
        </w:rPr>
      </w:pPr>
      <w:r w:rsidRPr="00A32B58">
        <w:rPr>
          <w:color w:val="auto"/>
        </w:rPr>
        <w:t>10.5</w:t>
      </w:r>
      <w:r w:rsidRPr="00A32B58">
        <w:rPr>
          <w:color w:val="auto"/>
        </w:rPr>
        <w:tab/>
        <w:t>Na tuto smlouvu se vztahuje povinnost uveřejnění prostřednictvím registru smluv a nabývá účinnosti dnem uveřejnění.</w:t>
      </w:r>
    </w:p>
    <w:p w14:paraId="1271C062" w14:textId="77777777" w:rsidR="0036121F" w:rsidRPr="00A32B58" w:rsidRDefault="0036121F" w:rsidP="00A155EB">
      <w:pPr>
        <w:pStyle w:val="Bod1"/>
        <w:rPr>
          <w:color w:val="auto"/>
        </w:rPr>
      </w:pPr>
    </w:p>
    <w:p w14:paraId="30EE3DC1" w14:textId="77777777" w:rsidR="0036121F" w:rsidRPr="00A32B58" w:rsidRDefault="0036121F" w:rsidP="0036121F">
      <w:pPr>
        <w:autoSpaceDE w:val="0"/>
        <w:autoSpaceDN w:val="0"/>
        <w:adjustRightInd w:val="0"/>
        <w:ind w:left="567" w:hanging="567"/>
        <w:jc w:val="both"/>
        <w:rPr>
          <w:rFonts w:asciiTheme="minorHAnsi" w:hAnsiTheme="minorHAnsi"/>
          <w:iCs/>
          <w:sz w:val="22"/>
          <w:szCs w:val="22"/>
        </w:rPr>
      </w:pPr>
      <w:r w:rsidRPr="00A32B58">
        <w:rPr>
          <w:rFonts w:asciiTheme="minorHAnsi" w:hAnsiTheme="minorHAnsi"/>
          <w:iCs/>
          <w:sz w:val="22"/>
          <w:szCs w:val="22"/>
        </w:rPr>
        <w:t>10.6</w:t>
      </w:r>
      <w:r w:rsidRPr="00A32B58">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A32B58" w:rsidRDefault="0036121F" w:rsidP="00A155EB">
      <w:pPr>
        <w:pStyle w:val="Bod1"/>
        <w:rPr>
          <w:color w:val="auto"/>
        </w:rPr>
      </w:pPr>
    </w:p>
    <w:p w14:paraId="7A8B1CA6" w14:textId="77777777" w:rsidR="00AB5A70" w:rsidRPr="00A32B58" w:rsidRDefault="00B12923" w:rsidP="00AB5A70">
      <w:pPr>
        <w:pStyle w:val="Bod1"/>
        <w:rPr>
          <w:color w:val="auto"/>
        </w:rPr>
      </w:pPr>
      <w:r w:rsidRPr="00A32B58">
        <w:rPr>
          <w:color w:val="auto"/>
        </w:rPr>
        <w:t>10.7</w:t>
      </w:r>
      <w:r w:rsidRPr="00A32B58">
        <w:rPr>
          <w:color w:val="auto"/>
        </w:rPr>
        <w:tab/>
      </w:r>
      <w:r w:rsidR="00AB5A70" w:rsidRPr="00A32B58">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A32B58" w:rsidRDefault="00AB5A70" w:rsidP="00AB5A70">
      <w:pPr>
        <w:pStyle w:val="Bod1"/>
        <w:rPr>
          <w:color w:val="auto"/>
        </w:rPr>
      </w:pPr>
    </w:p>
    <w:p w14:paraId="67077D63" w14:textId="77777777" w:rsidR="00AB5A70" w:rsidRPr="00A32B58" w:rsidRDefault="00AB5A70" w:rsidP="00AB5A70">
      <w:pPr>
        <w:pStyle w:val="Bod1"/>
        <w:rPr>
          <w:color w:val="auto"/>
        </w:rPr>
      </w:pPr>
      <w:r w:rsidRPr="00A32B58">
        <w:rPr>
          <w:color w:val="auto"/>
        </w:rPr>
        <w:t>10.8</w:t>
      </w:r>
      <w:r w:rsidRPr="00A32B58">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3AB8"/>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7F2768"/>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8F5C0C"/>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2B58"/>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7"/>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27</TotalTime>
  <Pages>6</Pages>
  <Words>1968</Words>
  <Characters>11579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7</cp:revision>
  <cp:lastPrinted>2016-02-16T07:30:00Z</cp:lastPrinted>
  <dcterms:created xsi:type="dcterms:W3CDTF">2020-05-05T05:47:00Z</dcterms:created>
  <dcterms:modified xsi:type="dcterms:W3CDTF">2021-03-26T08:20:00Z</dcterms:modified>
</cp:coreProperties>
</file>